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2"/>
          <w:szCs w:val="32"/>
          <w:rtl w:val="0"/>
        </w:rPr>
        <w:t xml:space="preserve">Техническа спецификация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По процедура с предмет: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“Доставка на специализирано оборудване - 2 бр. филтрираща система и инструменти за екструдерна линия”</w:t>
      </w:r>
    </w:p>
    <w:p w:rsidR="00000000" w:rsidDel="00000000" w:rsidP="00000000" w:rsidRDefault="00000000" w:rsidRPr="00000000" w14:paraId="00000006">
      <w:pPr>
        <w:tabs>
          <w:tab w:val="left" w:pos="7845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7845"/>
        </w:tabs>
        <w:ind w:left="0" w:hanging="2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І. Минимални технически и функционални изисквания към оборудването - </w:t>
      </w:r>
    </w:p>
    <w:p w:rsidR="00000000" w:rsidDel="00000000" w:rsidP="00000000" w:rsidRDefault="00000000" w:rsidRPr="00000000" w14:paraId="00000008">
      <w:pPr>
        <w:tabs>
          <w:tab w:val="left" w:pos="7845"/>
        </w:tabs>
        <w:ind w:left="0" w:hanging="2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наличие на следните компоненти:</w:t>
      </w:r>
    </w:p>
    <w:p w:rsidR="00000000" w:rsidDel="00000000" w:rsidP="00000000" w:rsidRDefault="00000000" w:rsidRPr="00000000" w14:paraId="00000009">
      <w:pPr>
        <w:tabs>
          <w:tab w:val="left" w:pos="7845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Компонент 1: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2 бр система за смяна на решетка (филтър) на екструдерна глава: 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възможност за смяна на решетката под високо налягане 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възможност за смяна на решетката по време на производството 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присъединителен фланец между екструдер и решетка </w:t>
      </w:r>
    </w:p>
    <w:p w:rsidR="00000000" w:rsidDel="00000000" w:rsidP="00000000" w:rsidRDefault="00000000" w:rsidRPr="00000000" w14:paraId="0000000E">
      <w:p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Компонент 2: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Инструменти (матрици) за производството на П-образен профил - 50 мм по чертеж задание: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дюза за производство с 2 извода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калибратор (сух) с вакуум  (минимум 300 мм)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хидравлична щанца за перфориране на профили на поточната линия - минимум 10 удара в минута.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 включена хидравлична станция</w:t>
      </w:r>
    </w:p>
    <w:p w:rsidR="00000000" w:rsidDel="00000000" w:rsidP="00000000" w:rsidRDefault="00000000" w:rsidRPr="00000000" w14:paraId="00000014">
      <w:p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Компонент 3: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Инструменти (матрици) за производството на П-образен профил - 35 мм и 40 мм по чертеж задание: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дюза за производство с 2 извода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калибратор (сух) с вакуум  (минимум 300 мм) 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II. Допълнителни технически и/или функционални изисквания към оборудването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КОМПОНЕНТ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сензор за налягане преди решетка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хидравлична станция за бързоскоростна смяна на решетката (филтъра)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КОМПОНЕНТ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хидравлична щанца за перфориране на профили на поточната линия 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минимум 10 удара в минута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vertAlign w:val="baseline"/>
          <w:rtl w:val="0"/>
        </w:rPr>
        <w:t xml:space="preserve">с включена хидравлична станция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КОМПОНЕНТ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vertAlign w:val="baseline"/>
          <w:rtl w:val="0"/>
        </w:rPr>
        <w:t xml:space="preserve">с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хидравлична щанца за перфориране на профили на поточната линия -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минимум 10 удара в минута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включена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vertAlign w:val="baseline"/>
          <w:rtl w:val="0"/>
        </w:rPr>
        <w:t xml:space="preserve"> хидравлична станция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8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III. Други изисквания: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1. Изисквания към изпълнение на доставката: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Доставеното оборудване да е ново и неупотребявано, както и да не е обременено с вещни тежести или други задължения.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2. Изисквания към гаранционната поддръжка: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Гаранционният срок започва да тече от датата на подписване на двустранен приемо-предавателен протокол за изпълнен предмет на процедурата – доставено, монтирано и въведено в експлоатация оборудване. Предложеният гаранционен срок не може да бъде по-кратък от 12 (дванадесет) месеца. Предложеният гаранционен срок не може да бъде по-дълъг от 36 (тридесет и шест) месеца.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3. Изисквания към документацията, съпровождаща изпълнението на предмета на процедурата: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Доставката на оборудването следва да бъде придружена от техническа документация, съдържаща информация за техническите и функционални характеристики на оборудването, посочени в техническата спецификация по процедурата, декларация за съответствие и/или СЕ или друга приложима маркировка и инструкции за експлоатация на български език и/или английски език. Оборудването следва да е придружено и от Гаранционна карта, както и СЕ декларация.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4. Изисквания за обучение за персонала: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Доставчикът следва да осигури обучение на Възложителя за своя сметка.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7" w:orient="portrait"/>
      <w:pgMar w:bottom="899" w:top="540" w:left="1560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HebarU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 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3C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3D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 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41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42">
    <w:pPr>
      <w:spacing w:before="5" w:line="244" w:lineRule="auto"/>
      <w:ind w:left="0" w:right="25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pBdr>
        <w:bottom w:color="000000" w:space="1" w:sz="6" w:val="single"/>
      </w:pBdr>
      <w:tabs>
        <w:tab w:val="left" w:pos="435"/>
        <w:tab w:val="center" w:pos="4536"/>
        <w:tab w:val="center" w:pos="7285"/>
        <w:tab w:val="right" w:pos="9072"/>
      </w:tabs>
      <w:ind w:left="0" w:hanging="2"/>
      <w:rPr/>
    </w:pPr>
    <w:bookmarkStart w:colFirst="0" w:colLast="0" w:name="_heading=h.gjdgxs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pBdr>
        <w:bottom w:color="000000" w:space="1" w:sz="6" w:val="single"/>
      </w:pBdr>
      <w:tabs>
        <w:tab w:val="left" w:pos="435"/>
        <w:tab w:val="center" w:pos="4536"/>
        <w:tab w:val="center" w:pos="7285"/>
        <w:tab w:val="right" w:pos="9072"/>
      </w:tabs>
      <w:ind w:left="0" w:hanging="2"/>
      <w:rPr>
        <w:rFonts w:ascii="Calibri" w:cs="Calibri" w:eastAsia="Calibri" w:hAnsi="Calibri"/>
      </w:rPr>
    </w:pPr>
    <w:r w:rsidDel="00000000" w:rsidR="00000000" w:rsidRPr="00000000">
      <w:rPr/>
      <w:drawing>
        <wp:inline distB="0" distT="0" distL="114300" distR="114300">
          <wp:extent cx="1440815" cy="888365"/>
          <wp:effectExtent b="0" l="0" r="0" t="0"/>
          <wp:docPr id="104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815" cy="8883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rtl w:val="0"/>
      </w:rPr>
      <w:tab/>
      <w:tab/>
    </w:r>
    <w:r w:rsidDel="00000000" w:rsidR="00000000" w:rsidRPr="00000000">
      <w:rPr/>
      <w:drawing>
        <wp:inline distB="0" distT="0" distL="114300" distR="114300">
          <wp:extent cx="1623060" cy="739140"/>
          <wp:effectExtent b="0" l="0" r="0" t="0"/>
          <wp:docPr id="105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  <w:tab w:val="left" w:pos="90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color w:val="000000"/>
      </w:rPr>
      <w:drawing>
        <wp:inline distB="0" distT="0" distL="114300" distR="114300">
          <wp:extent cx="1440815" cy="888365"/>
          <wp:effectExtent b="0" l="0" r="0" t="0"/>
          <wp:docPr id="105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815" cy="8883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</w:r>
    <w:r w:rsidDel="00000000" w:rsidR="00000000" w:rsidRPr="00000000">
      <w:rPr>
        <w:rtl w:val="0"/>
      </w:rPr>
      <w:t xml:space="preserve">                                                                </w:t>
    </w:r>
    <w:r w:rsidDel="00000000" w:rsidR="00000000" w:rsidRPr="00000000">
      <w:rPr>
        <w:color w:val="000000"/>
      </w:rPr>
      <w:drawing>
        <wp:inline distB="0" distT="0" distL="114300" distR="114300">
          <wp:extent cx="1623060" cy="739140"/>
          <wp:effectExtent b="0" l="0" r="0" t="0"/>
          <wp:docPr id="105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  <w:tab w:val="left" w:pos="90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</w:rPr>
    </w:lvl>
  </w:abstractNum>
  <w:abstractNum w:abstractNumId="3">
    <w:lvl w:ilvl="0">
      <w:start w:val="2"/>
      <w:numFmt w:val="decimal"/>
      <w:lvlText w:val="%1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</w:rPr>
    </w:lvl>
  </w:abstractNum>
  <w:abstractNum w:abstractNumId="4">
    <w:lvl w:ilvl="0">
      <w:start w:val="3"/>
      <w:numFmt w:val="decimal"/>
      <w:lvlText w:val="%1"/>
      <w:lvlJc w:val="left"/>
      <w:pPr>
        <w:ind w:left="36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358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color w:val="000000"/>
        <w:sz w:val="22"/>
        <w:szCs w:val="22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 w:val="1"/>
    <w:pPr>
      <w:keepNext w:val="1"/>
      <w:spacing w:after="60" w:before="240"/>
    </w:pPr>
    <w:rPr>
      <w:rFonts w:ascii="Arial" w:cs="Arial" w:hAnsi="Arial"/>
      <w:b w:val="1"/>
      <w:bCs w:val="1"/>
      <w:kern w:val="32"/>
      <w:sz w:val="32"/>
      <w:szCs w:val="32"/>
      <w:lang w:eastAsia="bg-BG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  <w:lang w:eastAsia="bg-BG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7">
    <w:name w:val="heading 7"/>
    <w:basedOn w:val="a"/>
    <w:next w:val="a"/>
    <w:pPr>
      <w:keepNext w:val="1"/>
      <w:pBdr>
        <w:bottom w:color="auto" w:space="1" w:sz="6" w:val="single"/>
      </w:pBdr>
      <w:jc w:val="center"/>
      <w:outlineLvl w:val="6"/>
    </w:pPr>
    <w:rPr>
      <w:rFonts w:ascii="Times New Roman" w:hAnsi="Times New Roman"/>
      <w:b w:val="1"/>
      <w:spacing w:val="300"/>
      <w:kern w:val="144"/>
      <w:sz w:val="28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next w:val="TableNormal0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lang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pPr>
      <w:spacing w:after="20" w:before="20"/>
      <w:jc w:val="center"/>
    </w:pPr>
    <w:rPr>
      <w:rFonts w:ascii="Times New Roman" w:hAnsi="Times New Roman"/>
      <w:b w:val="1"/>
      <w:caps w:val="1"/>
      <w:sz w:val="22"/>
    </w:rPr>
  </w:style>
  <w:style w:type="character" w:styleId="a7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CharCharCharCharCharCharChar" w:customStyle="1">
    <w:name w:val="Char Char Знак Знак Char Знак Знак Char Char Char Знак Знак Char"/>
    <w:basedOn w:val="a"/>
    <w:pPr>
      <w:tabs>
        <w:tab w:val="left" w:pos="709"/>
      </w:tabs>
    </w:pPr>
    <w:rPr>
      <w:rFonts w:ascii="Tahoma" w:hAnsi="Tahoma"/>
      <w:lang w:eastAsia="pl-PL" w:val="pl-PL"/>
    </w:rPr>
  </w:style>
  <w:style w:type="character" w:styleId="nomark" w:customStyle="1">
    <w:name w:val="nomark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8">
    <w:name w:val="Table Grid"/>
    <w:basedOn w:val="TableNormal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" w:customStyle="1">
    <w:name w:val="Char"/>
    <w:basedOn w:val="a"/>
    <w:pPr>
      <w:tabs>
        <w:tab w:val="left" w:pos="709"/>
      </w:tabs>
    </w:pPr>
    <w:rPr>
      <w:rFonts w:ascii="Futura Bk" w:hAnsi="Futura Bk"/>
      <w:noProof w:val="1"/>
      <w:sz w:val="20"/>
      <w:lang/>
    </w:rPr>
  </w:style>
  <w:style w:type="paragraph" w:styleId="a9">
    <w:name w:val="Balloon Text"/>
    <w:basedOn w:val="a"/>
    <w:rPr>
      <w:rFonts w:ascii="Tahoma" w:cs="Tahoma" w:hAnsi="Tahoma"/>
      <w:sz w:val="16"/>
      <w:szCs w:val="16"/>
    </w:rPr>
  </w:style>
  <w:style w:type="paragraph" w:styleId="aa">
    <w:name w:val="footnote text"/>
    <w:basedOn w:val="a"/>
    <w:rPr>
      <w:rFonts w:ascii="Times New Roman" w:hAnsi="Times New Roman"/>
      <w:sz w:val="20"/>
      <w:lang w:eastAsia="bg-BG"/>
    </w:rPr>
  </w:style>
  <w:style w:type="character" w:styleId="ab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ac">
    <w:name w:val="Body Text Indent"/>
    <w:basedOn w:val="a"/>
    <w:pPr>
      <w:spacing w:after="120"/>
      <w:ind w:left="360"/>
    </w:pPr>
    <w:rPr>
      <w:rFonts w:ascii="Times New Roman" w:hAnsi="Times New Roman"/>
      <w:lang w:eastAsia="bg-BG"/>
    </w:rPr>
  </w:style>
  <w:style w:type="character" w:styleId="CommentReference" w:customStyle="1">
    <w:name w:val="Comment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 w:customStyle="1">
    <w:name w:val="Comment Text"/>
    <w:basedOn w:val="a"/>
    <w:rPr>
      <w:sz w:val="20"/>
    </w:rPr>
  </w:style>
  <w:style w:type="paragraph" w:styleId="CommentSubject" w:customStyle="1">
    <w:name w:val="Comment Subject"/>
    <w:basedOn w:val="CommentText"/>
    <w:next w:val="CommentText"/>
    <w:rPr>
      <w:b w:val="1"/>
      <w:bCs w:val="1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eaderChar" w:customStyle="1">
    <w:name w:val="Head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FooterChar" w:customStyle="1">
    <w:name w:val="Footer Char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styleId="filled-value" w:customStyle="1">
    <w:name w:val="filled-value"/>
    <w:rPr>
      <w:w w:val="100"/>
      <w:position w:val="-1"/>
      <w:effect w:val="none"/>
      <w:vertAlign w:val="baseline"/>
      <w:cs w:val="0"/>
      <w:em w:val="none"/>
    </w:rPr>
  </w:style>
  <w:style w:type="paragraph" w:styleId="HTML">
    <w:name w:val="HTML Preformatted"/>
    <w:basedOn w:val="a"/>
    <w:qFormat w:val="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hAnsi="Courier New"/>
      <w:sz w:val="20"/>
      <w:lang w:val="en-US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paragraph" w:styleId="ae">
    <w:name w:val="List Paragraph"/>
    <w:basedOn w:val="a"/>
    <w:pPr>
      <w:spacing w:after="160" w:line="259" w:lineRule="auto"/>
      <w:ind w:left="720"/>
      <w:contextualSpacing w:val="1"/>
    </w:pPr>
    <w:rPr>
      <w:rFonts w:ascii="Calibri" w:eastAsia="Calibri" w:hAnsi="Calibri"/>
      <w:sz w:val="22"/>
      <w:szCs w:val="22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eqnQNkrvish4BfW+aBd5wEehzQ==">AMUW2mV/NkH0vqbpBKmXHZPDSQGuuhUO2iVhMljx1nE7u/KVlptzDj4JZSg9H5nHTlF2IIldCdarmOn76jsMrmCUblpm+Brf6SlE3qok74qU6pa0wRCZsKyCE6ZQckyzXCNn/UwsvV8D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2022-11-10T06:36:00Z</dcterms:created>
  <dc:creator>a.toteva</dc:creator>
</cp:coreProperties>
</file>